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8CE" w:rsidRPr="004078CE" w:rsidRDefault="004078CE" w:rsidP="004078CE">
      <w:pPr>
        <w:tabs>
          <w:tab w:val="left" w:pos="1276"/>
        </w:tabs>
        <w:spacing w:after="0" w:line="240" w:lineRule="auto"/>
        <w:ind w:left="10348"/>
        <w:contextualSpacing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Приложение № 5</w:t>
      </w:r>
    </w:p>
    <w:p w:rsidR="004078CE" w:rsidRPr="004078CE" w:rsidRDefault="004078CE" w:rsidP="004078CE">
      <w:pPr>
        <w:tabs>
          <w:tab w:val="left" w:pos="1276"/>
        </w:tabs>
        <w:spacing w:after="0" w:line="240" w:lineRule="auto"/>
        <w:ind w:left="10348"/>
        <w:contextualSpacing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>УТВЕРЖДЕНО</w:t>
      </w:r>
    </w:p>
    <w:p w:rsidR="004078CE" w:rsidRPr="004078CE" w:rsidRDefault="004078CE" w:rsidP="004078CE">
      <w:pPr>
        <w:tabs>
          <w:tab w:val="left" w:pos="1276"/>
        </w:tabs>
        <w:spacing w:after="0" w:line="240" w:lineRule="auto"/>
        <w:ind w:left="10348"/>
        <w:contextualSpacing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 xml:space="preserve">постановлением Администрации </w:t>
      </w:r>
    </w:p>
    <w:p w:rsidR="004078CE" w:rsidRPr="004078CE" w:rsidRDefault="004078CE" w:rsidP="004078CE">
      <w:pPr>
        <w:tabs>
          <w:tab w:val="left" w:pos="1276"/>
        </w:tabs>
        <w:spacing w:after="0" w:line="240" w:lineRule="auto"/>
        <w:ind w:left="10348"/>
        <w:contextualSpacing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муниципального округа Первоуральск</w:t>
      </w:r>
    </w:p>
    <w:p w:rsidR="004078CE" w:rsidRPr="004078CE" w:rsidRDefault="004078CE" w:rsidP="004078CE">
      <w:pPr>
        <w:tabs>
          <w:tab w:val="left" w:pos="1276"/>
        </w:tabs>
        <w:spacing w:after="0" w:line="240" w:lineRule="auto"/>
        <w:ind w:left="10348"/>
        <w:contextualSpacing/>
        <w:jc w:val="both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>от _____________ года № __________</w:t>
      </w:r>
    </w:p>
    <w:p w:rsidR="004078CE" w:rsidRPr="004078CE" w:rsidRDefault="004078CE" w:rsidP="004078CE">
      <w:pPr>
        <w:widowControl w:val="0"/>
        <w:autoSpaceDE w:val="0"/>
        <w:autoSpaceDN w:val="0"/>
        <w:spacing w:after="0" w:line="240" w:lineRule="auto"/>
        <w:jc w:val="right"/>
        <w:rPr>
          <w:rFonts w:ascii="Liberation Serif" w:eastAsia="Calibri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="Calibri" w:hAnsi="Liberation Serif" w:cs="Times New Roman"/>
          <w:sz w:val="24"/>
          <w:szCs w:val="24"/>
          <w:u w:val="single"/>
          <w:lang w:eastAsia="ru-RU"/>
        </w:rPr>
        <w:t xml:space="preserve"> </w:t>
      </w:r>
    </w:p>
    <w:p w:rsidR="004078CE" w:rsidRPr="004078CE" w:rsidRDefault="004078CE" w:rsidP="004078CE">
      <w:pPr>
        <w:spacing w:after="0"/>
        <w:jc w:val="center"/>
        <w:rPr>
          <w:rFonts w:ascii="Liberation Serif" w:eastAsia="Calibri" w:hAnsi="Liberation Serif" w:cs="Times New Roman"/>
          <w:b/>
          <w:iCs/>
          <w:caps/>
          <w:sz w:val="24"/>
          <w:szCs w:val="24"/>
          <w:lang w:eastAsia="ru-RU"/>
        </w:rPr>
      </w:pPr>
      <w:r w:rsidRPr="004078CE">
        <w:rPr>
          <w:rFonts w:ascii="Liberation Serif" w:eastAsia="Calibri" w:hAnsi="Liberation Serif" w:cs="Times New Roman"/>
          <w:b/>
          <w:iCs/>
          <w:caps/>
          <w:sz w:val="24"/>
          <w:szCs w:val="24"/>
          <w:lang w:eastAsia="ru-RU"/>
        </w:rPr>
        <w:t>ПЛАН</w:t>
      </w:r>
    </w:p>
    <w:p w:rsidR="004078CE" w:rsidRPr="004078CE" w:rsidRDefault="004078CE" w:rsidP="004078CE">
      <w:pPr>
        <w:spacing w:after="0"/>
        <w:jc w:val="center"/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</w:pPr>
      <w:r w:rsidRPr="004078CE"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  <w:t xml:space="preserve">достижения показателей эффективности организации оказания муниципальных услуг в социальной сфере, при </w:t>
      </w:r>
      <w:proofErr w:type="gramStart"/>
      <w:r w:rsidRPr="004078CE"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  <w:t>организации</w:t>
      </w:r>
      <w:proofErr w:type="gramEnd"/>
      <w:r w:rsidRPr="004078CE"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  <w:t xml:space="preserve"> оказания которых планируется определять исполнителей услуг по результатам </w:t>
      </w:r>
    </w:p>
    <w:p w:rsidR="004078CE" w:rsidRPr="004078CE" w:rsidRDefault="004078CE" w:rsidP="004078CE">
      <w:pPr>
        <w:spacing w:after="0"/>
        <w:jc w:val="center"/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</w:pPr>
      <w:r w:rsidRPr="004078CE">
        <w:rPr>
          <w:rFonts w:ascii="Liberation Serif" w:eastAsia="Calibri" w:hAnsi="Liberation Serif" w:cs="Times New Roman"/>
          <w:b/>
          <w:iCs/>
          <w:sz w:val="24"/>
          <w:szCs w:val="24"/>
          <w:lang w:eastAsia="ru-RU"/>
        </w:rPr>
        <w:t>отбора исполнителей услуг</w:t>
      </w:r>
    </w:p>
    <w:p w:rsidR="004078CE" w:rsidRPr="004078CE" w:rsidRDefault="004078CE" w:rsidP="004078CE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tbl>
      <w:tblPr>
        <w:tblStyle w:val="1"/>
        <w:tblW w:w="15309" w:type="dxa"/>
        <w:tblInd w:w="-5" w:type="dxa"/>
        <w:tblLook w:val="04A0" w:firstRow="1" w:lastRow="0" w:firstColumn="1" w:lastColumn="0" w:noHBand="0" w:noVBand="1"/>
      </w:tblPr>
      <w:tblGrid>
        <w:gridCol w:w="1153"/>
        <w:gridCol w:w="3118"/>
        <w:gridCol w:w="5383"/>
        <w:gridCol w:w="2482"/>
        <w:gridCol w:w="3173"/>
      </w:tblGrid>
      <w:tr w:rsidR="004078CE" w:rsidRPr="004078CE" w:rsidTr="00FF6E29">
        <w:trPr>
          <w:tblHeader/>
        </w:trPr>
        <w:tc>
          <w:tcPr>
            <w:tcW w:w="115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ab/>
              <w:t xml:space="preserve">№ </w:t>
            </w:r>
            <w:proofErr w:type="gramStart"/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п</w:t>
            </w:r>
            <w:proofErr w:type="gramEnd"/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Цель</w:t>
            </w:r>
          </w:p>
        </w:tc>
        <w:tc>
          <w:tcPr>
            <w:tcW w:w="538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482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317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4078CE" w:rsidRPr="004078CE" w:rsidTr="00FF6E29">
        <w:tc>
          <w:tcPr>
            <w:tcW w:w="115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482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317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7</w:t>
            </w:r>
          </w:p>
        </w:tc>
      </w:tr>
      <w:tr w:rsidR="004078CE" w:rsidRPr="004078CE" w:rsidTr="00FF6E29">
        <w:tc>
          <w:tcPr>
            <w:tcW w:w="115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Улучшение условий для оказания государственных услуг некоммерческими организациями </w:t>
            </w:r>
          </w:p>
        </w:tc>
        <w:tc>
          <w:tcPr>
            <w:tcW w:w="5383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Увеличение общего количества некоммерческих организаций, оказывающих государственные услуги в отраслях социальной сферы, которым предоставляется государственная поддержка </w:t>
            </w: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br/>
              <w:t>(в том числе обучение, налоговые льготы и т.п.), единиц</w:t>
            </w:r>
          </w:p>
        </w:tc>
        <w:tc>
          <w:tcPr>
            <w:tcW w:w="2482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значение: 1</w:t>
            </w:r>
          </w:p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  <w:tr w:rsidR="004078CE" w:rsidRPr="004078CE" w:rsidTr="00FF6E29">
        <w:trPr>
          <w:trHeight w:val="581"/>
        </w:trPr>
        <w:tc>
          <w:tcPr>
            <w:tcW w:w="115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5383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Уточнение/доработка муниципальных правовых актов, с </w:t>
            </w:r>
            <w:proofErr w:type="spellStart"/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учетом</w:t>
            </w:r>
            <w:proofErr w:type="spellEnd"/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механизмов, предусмотренных Федеральным законом № 189-ФЗ</w:t>
            </w:r>
          </w:p>
        </w:tc>
        <w:tc>
          <w:tcPr>
            <w:tcW w:w="2482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значение: 1</w:t>
            </w:r>
          </w:p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  <w:tr w:rsidR="004078CE" w:rsidRPr="004078CE" w:rsidTr="00FF6E29">
        <w:trPr>
          <w:trHeight w:val="1112"/>
        </w:trPr>
        <w:tc>
          <w:tcPr>
            <w:tcW w:w="115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Увеличение охвата услугами/доступа к услугам </w:t>
            </w:r>
          </w:p>
        </w:tc>
        <w:tc>
          <w:tcPr>
            <w:tcW w:w="5383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Информационная компания для потребителей муниципальных услуг в социальной сфере (далее – потребитель услуг) и исполнителей услуг</w:t>
            </w:r>
          </w:p>
        </w:tc>
        <w:tc>
          <w:tcPr>
            <w:tcW w:w="2482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значение: 1</w:t>
            </w:r>
          </w:p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  <w:tr w:rsidR="004078CE" w:rsidRPr="004078CE" w:rsidTr="00FF6E29">
        <w:tc>
          <w:tcPr>
            <w:tcW w:w="1153" w:type="dxa"/>
            <w:vMerge w:val="restart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vMerge w:val="restart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Повышение качества оказанных услуг </w:t>
            </w:r>
          </w:p>
        </w:tc>
        <w:tc>
          <w:tcPr>
            <w:tcW w:w="5383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Определение стандартов (порядков) оказания муниципальных услуг в социальной сфере и минимальных требований к качеству их оказания</w:t>
            </w:r>
          </w:p>
        </w:tc>
        <w:tc>
          <w:tcPr>
            <w:tcW w:w="2482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значение:1 </w:t>
            </w:r>
          </w:p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  <w:tr w:rsidR="004078CE" w:rsidRPr="004078CE" w:rsidTr="00FF6E29">
        <w:tc>
          <w:tcPr>
            <w:tcW w:w="1153" w:type="dxa"/>
            <w:vMerge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5383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Создание системы мониторинга и оценки</w:t>
            </w: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br/>
            </w: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 (в т. ч. информационной системы при наличии возможности) качества оказания муниципальных услуг в социальной сфере</w:t>
            </w:r>
          </w:p>
        </w:tc>
        <w:tc>
          <w:tcPr>
            <w:tcW w:w="2482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значение: 1</w:t>
            </w:r>
          </w:p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год: 2027</w:t>
            </w:r>
          </w:p>
        </w:tc>
        <w:tc>
          <w:tcPr>
            <w:tcW w:w="317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муниципального округа Первоуральск</w:t>
            </w:r>
          </w:p>
        </w:tc>
      </w:tr>
      <w:tr w:rsidR="004078CE" w:rsidRPr="004078CE" w:rsidTr="00FF6E29">
        <w:tc>
          <w:tcPr>
            <w:tcW w:w="115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18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Рост </w:t>
            </w:r>
            <w:proofErr w:type="spellStart"/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удовлетворенности</w:t>
            </w:r>
            <w:proofErr w:type="spellEnd"/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граждан оказанием государственных услуг в социальной сфере</w:t>
            </w:r>
          </w:p>
        </w:tc>
        <w:tc>
          <w:tcPr>
            <w:tcW w:w="5383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Создание механизмов обратной связи исполнителей муниципальных услуг в социальной сфере с потребителями муниципальных услуг в социальной сфере, которым указанные исполнители услуг оказали муниципальные услуги в социальной сфере</w:t>
            </w:r>
          </w:p>
        </w:tc>
        <w:tc>
          <w:tcPr>
            <w:tcW w:w="2482" w:type="dxa"/>
          </w:tcPr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значение: 1</w:t>
            </w:r>
          </w:p>
          <w:p w:rsidR="004078CE" w:rsidRPr="004078CE" w:rsidRDefault="004078CE" w:rsidP="004078CE">
            <w:pPr>
              <w:spacing w:line="256" w:lineRule="auto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год: 2027</w:t>
            </w:r>
          </w:p>
        </w:tc>
        <w:tc>
          <w:tcPr>
            <w:tcW w:w="3173" w:type="dxa"/>
          </w:tcPr>
          <w:p w:rsidR="004078CE" w:rsidRPr="004078CE" w:rsidRDefault="004078CE" w:rsidP="004078CE">
            <w:pPr>
              <w:spacing w:line="256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078CE">
              <w:rPr>
                <w:rFonts w:ascii="Liberation Serif" w:eastAsia="Calibri" w:hAnsi="Liberation Serif" w:cs="Times New Roman"/>
                <w:sz w:val="24"/>
                <w:szCs w:val="24"/>
              </w:rPr>
              <w:t>Управление образования муниципального округа Первоуральск</w:t>
            </w:r>
          </w:p>
        </w:tc>
      </w:tr>
    </w:tbl>
    <w:p w:rsidR="004078CE" w:rsidRPr="004078CE" w:rsidRDefault="004078CE" w:rsidP="004078CE">
      <w:pPr>
        <w:spacing w:after="160" w:line="259" w:lineRule="auto"/>
        <w:ind w:right="-881"/>
        <w:jc w:val="right"/>
        <w:rPr>
          <w:rFonts w:ascii="Liberation Serif" w:eastAsia="Calibri" w:hAnsi="Liberation Serif" w:cs="Times New Roman"/>
          <w:sz w:val="24"/>
          <w:szCs w:val="24"/>
          <w:lang w:eastAsia="ru-RU"/>
        </w:rPr>
      </w:pPr>
    </w:p>
    <w:p w:rsidR="004078CE" w:rsidRPr="004078CE" w:rsidRDefault="004078CE" w:rsidP="004078CE">
      <w:pPr>
        <w:spacing w:after="160" w:line="259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4078CE">
        <w:rPr>
          <w:rFonts w:ascii="Liberation Serif" w:eastAsiaTheme="minorEastAsia" w:hAnsi="Liberation Serif" w:cs="Times New Roman"/>
          <w:sz w:val="24"/>
          <w:szCs w:val="24"/>
          <w:lang w:eastAsia="ru-RU"/>
        </w:rPr>
        <w:t>_________________</w:t>
      </w:r>
    </w:p>
    <w:p w:rsidR="004078CE" w:rsidRPr="004078CE" w:rsidRDefault="004078CE" w:rsidP="004078CE">
      <w:pPr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bookmarkStart w:id="0" w:name="_GoBack"/>
      <w:bookmarkEnd w:id="0"/>
    </w:p>
    <w:p w:rsidR="004078CE" w:rsidRPr="004078CE" w:rsidRDefault="004078CE" w:rsidP="004078CE">
      <w:pPr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4078CE" w:rsidRPr="004078CE" w:rsidRDefault="004078CE" w:rsidP="004078CE">
      <w:pPr>
        <w:suppressAutoHyphens/>
        <w:autoSpaceDN w:val="0"/>
        <w:spacing w:after="0"/>
        <w:ind w:firstLine="720"/>
        <w:jc w:val="both"/>
        <w:textAlignment w:val="baseline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BC749B" w:rsidRDefault="00BC749B"/>
    <w:sectPr w:rsidR="00BC749B" w:rsidSect="00CA7E55">
      <w:headerReference w:type="default" r:id="rId5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0262913"/>
      <w:docPartObj>
        <w:docPartGallery w:val="Page Numbers (Top of Page)"/>
        <w:docPartUnique/>
      </w:docPartObj>
    </w:sdtPr>
    <w:sdtEndPr/>
    <w:sdtContent>
      <w:p w:rsidR="00067D8C" w:rsidRDefault="004078CE" w:rsidP="003B734F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67D8C" w:rsidRDefault="004078CE" w:rsidP="003B73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7F2"/>
    <w:rsid w:val="001E57F2"/>
    <w:rsid w:val="004078CE"/>
    <w:rsid w:val="00BC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8CE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4078C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">
    <w:name w:val="Сетка таблицы1"/>
    <w:basedOn w:val="a1"/>
    <w:next w:val="a5"/>
    <w:uiPriority w:val="39"/>
    <w:rsid w:val="004078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07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8CE"/>
    <w:pPr>
      <w:tabs>
        <w:tab w:val="center" w:pos="4677"/>
        <w:tab w:val="right" w:pos="9355"/>
      </w:tabs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4078C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">
    <w:name w:val="Сетка таблицы1"/>
    <w:basedOn w:val="a1"/>
    <w:next w:val="a5"/>
    <w:uiPriority w:val="39"/>
    <w:rsid w:val="004078C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407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205-5</dc:creator>
  <cp:keywords/>
  <dc:description/>
  <cp:lastModifiedBy>205-5</cp:lastModifiedBy>
  <cp:revision>2</cp:revision>
  <dcterms:created xsi:type="dcterms:W3CDTF">2025-06-05T09:16:00Z</dcterms:created>
  <dcterms:modified xsi:type="dcterms:W3CDTF">2025-06-05T09:16:00Z</dcterms:modified>
</cp:coreProperties>
</file>