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F4" w:rsidRPr="00BE0FF4" w:rsidRDefault="005D6E93" w:rsidP="00BE0FF4">
      <w:pPr>
        <w:widowControl w:val="0"/>
        <w:suppressAutoHyphens/>
        <w:autoSpaceDN w:val="0"/>
        <w:spacing w:after="0" w:line="240" w:lineRule="auto"/>
        <w:ind w:left="5529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  <w:r w:rsidRPr="00FA5AF4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eastAsia="ru-RU" w:bidi="ru-RU"/>
        </w:rPr>
        <w:t>Приложение № 7</w:t>
      </w:r>
      <w:r w:rsidRPr="00FA5AF4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eastAsia="ru-RU" w:bidi="ru-RU"/>
        </w:rPr>
        <w:br/>
      </w:r>
      <w:r w:rsidR="00BE0FF4" w:rsidRPr="00BE0FF4"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  <w:t>к Административному регламенту</w:t>
      </w:r>
    </w:p>
    <w:p w:rsidR="005D6E93" w:rsidRPr="005D6E93" w:rsidRDefault="00BE0FF4" w:rsidP="00BE0FF4">
      <w:pPr>
        <w:widowControl w:val="0"/>
        <w:suppressAutoHyphens/>
        <w:autoSpaceDN w:val="0"/>
        <w:spacing w:after="0" w:line="240" w:lineRule="auto"/>
        <w:ind w:left="5529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  <w:r w:rsidRPr="00BE0FF4"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  <w:t>«Организация отдыха детей в каникулярное время»</w:t>
      </w:r>
    </w:p>
    <w:p w:rsidR="005D6E93" w:rsidRPr="005D6E93" w:rsidRDefault="005D6E93" w:rsidP="005D6E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Calibri" w:hAnsi="Liberation Serif" w:cs="Liberation Serif"/>
          <w:b/>
          <w:bCs/>
          <w:color w:val="000000"/>
          <w:sz w:val="24"/>
          <w:szCs w:val="24"/>
        </w:rPr>
      </w:pPr>
    </w:p>
    <w:p w:rsidR="005D6E93" w:rsidRPr="005D6E93" w:rsidRDefault="005D6E93" w:rsidP="005D6E93">
      <w:pPr>
        <w:suppressAutoHyphens/>
        <w:autoSpaceDN w:val="0"/>
        <w:spacing w:after="0" w:line="276" w:lineRule="auto"/>
        <w:jc w:val="center"/>
        <w:textAlignment w:val="baseline"/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</w:pPr>
    </w:p>
    <w:p w:rsidR="005D6E93" w:rsidRPr="005D6E93" w:rsidRDefault="005D6E93" w:rsidP="005D6E93">
      <w:pPr>
        <w:suppressAutoHyphens/>
        <w:autoSpaceDN w:val="0"/>
        <w:spacing w:after="0" w:line="276" w:lineRule="auto"/>
        <w:jc w:val="center"/>
        <w:textAlignment w:val="baseline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5D6E93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 xml:space="preserve">Исчерпывающий перечень документов,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 </w:t>
      </w:r>
      <w:r w:rsidR="00FA5AF4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>форма</w:t>
      </w:r>
      <w:r w:rsidRPr="005D6E93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 xml:space="preserve"> их представления</w:t>
      </w:r>
    </w:p>
    <w:p w:rsidR="005D6E93" w:rsidRPr="005D6E93" w:rsidRDefault="005D6E93" w:rsidP="005D6E93">
      <w:pPr>
        <w:suppressAutoHyphens/>
        <w:autoSpaceDN w:val="0"/>
        <w:spacing w:after="0" w:line="276" w:lineRule="auto"/>
        <w:ind w:firstLine="709"/>
        <w:jc w:val="both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</w:p>
    <w:p w:rsidR="005D6E93" w:rsidRPr="005D6E93" w:rsidRDefault="005D6E93" w:rsidP="005D6E93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200" w:line="276" w:lineRule="auto"/>
        <w:ind w:left="142" w:firstLine="709"/>
        <w:contextualSpacing/>
        <w:jc w:val="both"/>
        <w:textAlignment w:val="baseline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Перечень документов, предъявляемых заявителем для предоставления муниципальной услуги, </w:t>
      </w:r>
      <w:r w:rsidR="004272F4">
        <w:rPr>
          <w:rFonts w:ascii="Liberation Serif" w:eastAsia="Calibri" w:hAnsi="Liberation Serif" w:cs="Times New Roman"/>
          <w:color w:val="000000"/>
          <w:sz w:val="24"/>
          <w:szCs w:val="24"/>
        </w:rPr>
        <w:t>представлен</w:t>
      </w: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в таблице 1.</w:t>
      </w: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ind w:left="142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Т а б л и </w:t>
      </w:r>
      <w:proofErr w:type="gramStart"/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>ц</w:t>
      </w:r>
      <w:proofErr w:type="gramEnd"/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а 1</w:t>
      </w: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ind w:left="1429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496"/>
        <w:gridCol w:w="4145"/>
      </w:tblGrid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Категория 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и (или) наименование представляемого документа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5D6E93" w:rsidRPr="005D6E93" w:rsidTr="004272F4">
        <w:trPr>
          <w:tblHeader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Свидетельство о рождении и паспорт (по достижении 14-летнего возраста) ребенка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уточнения возраста ребенка, сведений о родителях</w:t>
            </w:r>
          </w:p>
        </w:tc>
      </w:tr>
      <w:tr w:rsidR="005D6E93" w:rsidRPr="005D6E93" w:rsidTr="004272F4">
        <w:trPr>
          <w:cantSplit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из образовательной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0" w:line="276" w:lineRule="auto"/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Предоставляется для подтверждения факта обучения на территории муниципального образования</w:t>
            </w:r>
          </w:p>
        </w:tc>
      </w:tr>
      <w:tr w:rsidR="005D6E93" w:rsidRPr="005D6E93" w:rsidTr="004272F4">
        <w:trPr>
          <w:cantSplit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Документ, удостоверяющий личность заявителя, из числа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следующих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подтверждения законности представления интересов ребенка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паспорт моряка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военный билет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временное удостоверение личности гражданина Российской Федерации по форме № 2-П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Срок действия документа ограничен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вид на жительство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Выдается территориальным органом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федерального органа исполнительной власти Российской Федерации, ведающего вопросами внутренних дел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дипломатический паспорт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общегражданский заграничный паспорт гражданина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разрешение на временное проживание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Документ установленной формы, выдаваемый заявителю без гражданства, не имеющему документа, удостоверяющего личность 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удостоверение беженца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Документ, подтверждающий смену ФИО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подтверждения законности представления интересов ребенка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для получения путевки на санаторно-курортное лечение (в случае наличии заболевания, для лечения которого требуется направление в санаторий)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06541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Форма 070/у-04 (утверждена Приказом Минздравсоцразвития Российской Федерации</w:t>
            </w:r>
            <w:r w:rsidR="0006541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br/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от 22</w:t>
            </w:r>
            <w:r w:rsidR="0006541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ноября 2004 года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№ 256 «О порядке медицинского отбора и направления больных на санаторно-курортное лечение») 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Документы, представляемые заявителем для снижения размера оплаты за путевку, из числа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следующих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документ, подтверждающий потерю ребенком одного или обоих родителей, признания факта социального сиротства, из числа следующих: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 случае подачи заявления опекуном (попечителем) - решение органа опеки и попечительства об установлении опеки и попечительства;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в случае подачи заявления приемным родителем - договор о передаче ребенка (детей) на воспитание в приемную семью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детей-сирот, детей, оставшихся без попечения родителей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Управления Пенсионного фонда по месту регистрации о назначении пенсии по потере кормильца или пенсионное удостоверение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детей, получающих пенсию по случаю потери кормильца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 о назначении родителю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(законному представителю) ежемесячного пособия на ребенка или государственной социальной помощи от Управления социальной политики г. Первоуральск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Документ, </w:t>
            </w: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предоставляемый в результате межведомственного взаимодействия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Для детей из семей, имеющих доход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ниже прожиточного минимума, установленного в Свердловской области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170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удостоверение многодетной семьи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из многодетной семьи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справка, выдаваемая федеральными государственными учреждениями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медико-социальной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экспертизы, выписка из акта освидетельствования гражданина, признанного инвалидом, справка медицинской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t>Сведения об инвалидности, содержащиеся в ФГИС ФРИ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детей-инвалидов;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ВИЧ-инфицированных детей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установленной формы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детей, вернувшихся из воспитательных колоний и специальных учреждений закрытого типа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Документы, представляемые заявителем, подтверждающие внеочередное получение путевки: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с места работы (службы) родителя (законного представителя)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прокуроров;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Следственного комитета;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судей.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Документы, представляемые заявителем, подтверждающие первоочередное получение путевки: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с места работы (службы) родителя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полиции, детей, находящихся (находившихся) на иждивении;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сотрудников, имеющих специальные звания и проходящих службу в учреждениях и органах уголовно-исполнительной системы, Государственной противопожарной службы, органов по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и таможенных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органах Российской Федерации;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военнослужащих по месту жительства их семей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справка, выдаваемая федеральными государственными учреждениями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медико-социальной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экспертизы, выписка из акта освидетельствования гражданина, признанного инвалидом, справка медицинской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t>Сведения об инвалидности, содержащиеся в ФГИС ФРИ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детей-инвалидов и детей, один из родителей которых является инвалидом;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ВИЧ-инфицированных детей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свидетельство о смерти; справка, подтверждающая, что сотрудник погиб (умер) в связи с осуществлением служебной деятельности либо умер до истечения одного года после увольнения со службы вследствие ранения (контузии), заболевания, полученного в период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сотрудников полиции,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ГПС, органах по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РФ,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свидетельство о смерти;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справка, подтверждающая, что сотрудник умер вследствие заболевания, полученного в период прохождения службы,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сотрудников полиции,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ГПС, органах по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РФ, умерших вследствие заболевания, полученного в период прохождения службы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приказ об увольнении сотрудника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прохождения службы; справка, подтверждающая факт получения сотрудником в связи с осуществлением его служебной деятельности телесных повреждений, исключающих для него возможность дальнейшего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граждан Российской Федерации, уволенных со службы вследствие увечья или иного повреждения здоровья, полученных в связи с выполнением служебных обязанностей и исключивших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возможность дальнейшего прохождения службы в полиции,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 психотропных веществ и таможенных органах РФ</w:t>
            </w:r>
            <w:proofErr w:type="gramEnd"/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свидетельство о смерти; справка, подтверждающая, что сотрудник умер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граждан Российской Федерации, умерших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в полиции,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психотропных веществ и таможенных </w:t>
            </w:r>
            <w:proofErr w:type="gramStart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органах</w:t>
            </w:r>
            <w:proofErr w:type="gramEnd"/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РФ</w:t>
            </w:r>
          </w:p>
        </w:tc>
      </w:tr>
      <w:tr w:rsidR="00D21ABC" w:rsidRPr="005D6E93" w:rsidTr="004272F4">
        <w:tc>
          <w:tcPr>
            <w:tcW w:w="4390" w:type="dxa"/>
            <w:shd w:val="clear" w:color="auto" w:fill="auto"/>
          </w:tcPr>
          <w:p w:rsidR="00D21ABC" w:rsidRPr="005D6E93" w:rsidRDefault="00C42271" w:rsidP="006E424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</w:t>
            </w:r>
            <w:r w:rsidR="00D21AB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правка о </w:t>
            </w:r>
            <w:r w:rsidR="006E4245" w:rsidRPr="006E424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участнику специальной военной операции</w:t>
            </w:r>
            <w:r w:rsidR="00D21AB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</w:tcPr>
          <w:p w:rsidR="00D21ABC" w:rsidRPr="005D6E93" w:rsidRDefault="006E4245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D21ABC" w:rsidRPr="005D6E93" w:rsidRDefault="00C42271" w:rsidP="00C42271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</w:t>
            </w:r>
            <w:r w:rsidRPr="00C4227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</w:tr>
    </w:tbl>
    <w:p w:rsidR="005D6E93" w:rsidRPr="005D6E93" w:rsidRDefault="005D6E93" w:rsidP="005D6E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Calibri" w:hAnsi="Liberation Serif" w:cs="Liberation Serif"/>
          <w:b/>
          <w:bCs/>
          <w:color w:val="000000"/>
          <w:sz w:val="24"/>
          <w:szCs w:val="24"/>
        </w:rPr>
      </w:pPr>
    </w:p>
    <w:p w:rsidR="004272F4" w:rsidRPr="004272F4" w:rsidRDefault="004272F4" w:rsidP="004272F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200" w:line="276" w:lineRule="auto"/>
        <w:ind w:left="142" w:firstLine="709"/>
        <w:contextualSpacing/>
        <w:jc w:val="both"/>
        <w:textAlignment w:val="baseline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proofErr w:type="gramStart"/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(организациями), участвующими в предоставлении муниципальной услуги</w:t>
      </w:r>
      <w:r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представлен в таблице 2</w:t>
      </w:r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.</w:t>
      </w:r>
      <w:proofErr w:type="gramEnd"/>
    </w:p>
    <w:p w:rsidR="004272F4" w:rsidRPr="00EB5EAB" w:rsidRDefault="004272F4" w:rsidP="004272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4272F4" w:rsidRPr="004272F4" w:rsidRDefault="004272F4" w:rsidP="004272F4">
      <w:pPr>
        <w:widowControl w:val="0"/>
        <w:autoSpaceDE w:val="0"/>
        <w:autoSpaceDN w:val="0"/>
        <w:spacing w:after="0" w:line="240" w:lineRule="auto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Т а б л и </w:t>
      </w:r>
      <w:proofErr w:type="gramStart"/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ц</w:t>
      </w:r>
      <w:proofErr w:type="gramEnd"/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а 2</w:t>
      </w:r>
    </w:p>
    <w:p w:rsidR="004272F4" w:rsidRPr="00EB5EAB" w:rsidRDefault="004272F4" w:rsidP="004272F4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5108"/>
      </w:tblGrid>
      <w:tr w:rsidR="004272F4" w:rsidRPr="00186715" w:rsidTr="00E03D8E">
        <w:trPr>
          <w:tblHeader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jc w:val="center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jc w:val="center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Порядок, размер и основания взимания платы за услугу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Перевод документов, выданных </w:t>
            </w: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lastRenderedPageBreak/>
              <w:t>компетентными органами иностранных государств, на государственный язык Российской Федерации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lastRenderedPageBreak/>
              <w:t xml:space="preserve">Услуга выполняется за счет заявителя </w:t>
            </w: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lastRenderedPageBreak/>
              <w:t>организациями частной формы собственности и (или) индивидуальными предпринимателями по установленным ими расценкам или на договорной основе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lastRenderedPageBreak/>
              <w:t>Нотариальное удостоверение документов, нотариальное свидетельствование верности перевода документов с одного языка на другой, нотариальное свидетельствование подлинности подписи на документе, нотариальное заверение копий документов, выдача нотариусом документов, необходимых заявителю для получения муниципальных услуг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Услуга предоставляется в государственных нотариальных конторах и у нотариусов, занимающихся частной практикой на платной основе.</w:t>
            </w:r>
          </w:p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Размер и порядок взимания платы за совершение нотариальных действий установлен </w:t>
            </w:r>
            <w:hyperlink r:id="rId8" w:history="1">
              <w:r w:rsidRPr="00186715">
                <w:rPr>
                  <w:rStyle w:val="a5"/>
                  <w:rFonts w:ascii="Liberation Serif" w:eastAsia="Times New Roman" w:hAnsi="Liberation Serif" w:cs="Arial"/>
                  <w:sz w:val="24"/>
                  <w:szCs w:val="24"/>
                  <w:lang w:eastAsia="ru-RU"/>
                </w:rPr>
                <w:t>Основами</w:t>
              </w:r>
            </w:hyperlink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 законодательства Российской Федерации о нотариате от 11.02.1993 № 4462-1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Оформление доверенности, приравненной </w:t>
            </w:r>
            <w:proofErr w:type="gramStart"/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к</w:t>
            </w:r>
            <w:proofErr w:type="gramEnd"/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 нотариально удостоверенной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Выдается одним лицом другому лицу для представительства перед третьими лицами в соответствии </w:t>
            </w:r>
            <w:bookmarkStart w:id="0" w:name="_GoBack"/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с </w:t>
            </w:r>
            <w:hyperlink r:id="rId9" w:history="1">
              <w:r w:rsidRPr="00186715">
                <w:rPr>
                  <w:rStyle w:val="a5"/>
                  <w:rFonts w:ascii="Liberation Serif" w:eastAsia="Times New Roman" w:hAnsi="Liberation Serif" w:cs="Arial"/>
                  <w:sz w:val="24"/>
                  <w:szCs w:val="24"/>
                  <w:lang w:eastAsia="ru-RU"/>
                </w:rPr>
                <w:t>пунктом 2 статьи 185.1</w:t>
              </w:r>
            </w:hyperlink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 Гражданского кодекса Российской Федерации</w:t>
            </w:r>
            <w:bookmarkEnd w:id="0"/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. Услуга предоставляется бесплатно</w:t>
            </w:r>
          </w:p>
        </w:tc>
      </w:tr>
    </w:tbl>
    <w:p w:rsidR="00194472" w:rsidRDefault="00194472" w:rsidP="004272F4">
      <w:pPr>
        <w:ind w:left="284" w:firstLine="142"/>
      </w:pPr>
    </w:p>
    <w:sectPr w:rsidR="00194472" w:rsidSect="004272F4">
      <w:headerReference w:type="default" r:id="rId10"/>
      <w:pgSz w:w="11906" w:h="16838"/>
      <w:pgMar w:top="1134" w:right="56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BD6" w:rsidRDefault="00C36BD6">
      <w:pPr>
        <w:spacing w:after="0" w:line="240" w:lineRule="auto"/>
      </w:pPr>
      <w:r>
        <w:separator/>
      </w:r>
    </w:p>
  </w:endnote>
  <w:endnote w:type="continuationSeparator" w:id="0">
    <w:p w:rsidR="00C36BD6" w:rsidRDefault="00C36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BD6" w:rsidRDefault="00C36BD6">
      <w:pPr>
        <w:spacing w:after="0" w:line="240" w:lineRule="auto"/>
      </w:pPr>
      <w:r>
        <w:separator/>
      </w:r>
    </w:p>
  </w:footnote>
  <w:footnote w:type="continuationSeparator" w:id="0">
    <w:p w:rsidR="00C36BD6" w:rsidRDefault="00C36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CCC" w:rsidRDefault="00123B81">
    <w:pPr>
      <w:pStyle w:val="a3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065413">
      <w:rPr>
        <w:rFonts w:ascii="Liberation Serif" w:hAnsi="Liberation Serif" w:cs="Liberation Serif"/>
        <w:noProof/>
        <w:sz w:val="28"/>
        <w:szCs w:val="28"/>
      </w:rPr>
      <w:t>6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FE1CCC" w:rsidRDefault="00C36BD6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839"/>
    <w:multiLevelType w:val="multilevel"/>
    <w:tmpl w:val="5ABE7C96"/>
    <w:lvl w:ilvl="0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23103F"/>
    <w:multiLevelType w:val="hybridMultilevel"/>
    <w:tmpl w:val="DC58B650"/>
    <w:lvl w:ilvl="0" w:tplc="4A180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C7"/>
    <w:rsid w:val="00065413"/>
    <w:rsid w:val="00123B81"/>
    <w:rsid w:val="00194472"/>
    <w:rsid w:val="00202CD2"/>
    <w:rsid w:val="002D6EAE"/>
    <w:rsid w:val="00415237"/>
    <w:rsid w:val="004272F4"/>
    <w:rsid w:val="005D5368"/>
    <w:rsid w:val="005D6E93"/>
    <w:rsid w:val="006006D5"/>
    <w:rsid w:val="006E4245"/>
    <w:rsid w:val="00793BE3"/>
    <w:rsid w:val="007B58F6"/>
    <w:rsid w:val="009E30E0"/>
    <w:rsid w:val="00A23FDB"/>
    <w:rsid w:val="00B55192"/>
    <w:rsid w:val="00BE0FF4"/>
    <w:rsid w:val="00C36BD6"/>
    <w:rsid w:val="00C42271"/>
    <w:rsid w:val="00C96634"/>
    <w:rsid w:val="00D21ABC"/>
    <w:rsid w:val="00E03D8E"/>
    <w:rsid w:val="00F45B80"/>
    <w:rsid w:val="00F45F45"/>
    <w:rsid w:val="00F56F37"/>
    <w:rsid w:val="00FA5AF4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E93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rsid w:val="005D6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4272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E93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rsid w:val="005D6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427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74B8CBF39584B1DA7B168883E835DEAD52F265F70399D1A6A388E2206E4DADF1AA1C0FC335E19DB5451BFFERCo2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74B8CBF39584B1DA7B168883E835DEAD62D245976399D1A6A388E2206E4DACD1AF9C9FB3F4B4D820E06B2FCC9708DCCCEE83817RDo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206-2</cp:lastModifiedBy>
  <cp:revision>16</cp:revision>
  <dcterms:created xsi:type="dcterms:W3CDTF">2024-11-02T11:11:00Z</dcterms:created>
  <dcterms:modified xsi:type="dcterms:W3CDTF">2024-11-28T10:30:00Z</dcterms:modified>
</cp:coreProperties>
</file>